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60" w:rsidRPr="00C6476A" w:rsidRDefault="009A5960" w:rsidP="009A5960">
      <w:pPr>
        <w:ind w:firstLine="709"/>
        <w:jc w:val="both"/>
        <w:rPr>
          <w:b/>
          <w:bCs/>
          <w:sz w:val="28"/>
          <w:szCs w:val="28"/>
        </w:rPr>
      </w:pPr>
      <w:r w:rsidRPr="00C6476A">
        <w:rPr>
          <w:b/>
          <w:bCs/>
          <w:sz w:val="28"/>
          <w:szCs w:val="28"/>
        </w:rPr>
        <w:t xml:space="preserve">Предмет «Право» </w:t>
      </w:r>
    </w:p>
    <w:p w:rsidR="009A5960" w:rsidRPr="00B32E70" w:rsidRDefault="009A5960" w:rsidP="009A5960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2E70">
        <w:rPr>
          <w:rFonts w:ascii="Times New Roman" w:hAnsi="Times New Roman"/>
          <w:b/>
          <w:sz w:val="28"/>
          <w:szCs w:val="28"/>
          <w:lang w:val="ru-RU"/>
        </w:rPr>
        <w:t>Программно-методическое сопровождение преподавания права</w:t>
      </w:r>
    </w:p>
    <w:p w:rsidR="009A5960" w:rsidRPr="00526440" w:rsidRDefault="009A5960" w:rsidP="009A5960">
      <w:pPr>
        <w:pStyle w:val="1"/>
        <w:tabs>
          <w:tab w:val="left" w:pos="2419"/>
          <w:tab w:val="center" w:pos="4431"/>
          <w:tab w:val="left" w:pos="5059"/>
          <w:tab w:val="right" w:pos="9181"/>
        </w:tabs>
        <w:ind w:firstLine="709"/>
        <w:jc w:val="both"/>
        <w:rPr>
          <w:b w:val="0"/>
        </w:rPr>
      </w:pPr>
      <w:r w:rsidRPr="00C6476A">
        <w:rPr>
          <w:b w:val="0"/>
        </w:rPr>
        <w:t>В 2017/2018 учебном го</w:t>
      </w:r>
      <w:r>
        <w:rPr>
          <w:b w:val="0"/>
        </w:rPr>
        <w:t>ду преподавание предмета «Право</w:t>
      </w:r>
      <w:r w:rsidRPr="00C6476A">
        <w:rPr>
          <w:b w:val="0"/>
        </w:rPr>
        <w:t>» в образовательных организациях (учреждениях) Луганской Народной Республики будет осуществляться по программам, утвержденным Министерством образования и науки Луганской Народной Республи</w:t>
      </w:r>
      <w:r>
        <w:rPr>
          <w:b w:val="0"/>
        </w:rPr>
        <w:t xml:space="preserve">ки  (Приказ №483 от 11.04.2016 </w:t>
      </w:r>
      <w:r w:rsidRPr="00C6476A">
        <w:rPr>
          <w:b w:val="0"/>
        </w:rPr>
        <w:t>«Об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профиль</w:t>
      </w:r>
      <w:r>
        <w:rPr>
          <w:b w:val="0"/>
        </w:rPr>
        <w:t>ного уровней преподавания»)</w:t>
      </w:r>
      <w:r w:rsidRPr="00526440">
        <w:rPr>
          <w:b w:val="0"/>
        </w:rPr>
        <w:t>.</w:t>
      </w:r>
    </w:p>
    <w:p w:rsidR="009A5960" w:rsidRPr="00526440" w:rsidRDefault="009A5960" w:rsidP="009A5960">
      <w:pPr>
        <w:pStyle w:val="1"/>
        <w:tabs>
          <w:tab w:val="left" w:pos="2419"/>
          <w:tab w:val="center" w:pos="4431"/>
          <w:tab w:val="left" w:pos="5059"/>
          <w:tab w:val="right" w:pos="9181"/>
        </w:tabs>
        <w:ind w:firstLine="567"/>
        <w:jc w:val="both"/>
        <w:rPr>
          <w:b w:val="0"/>
        </w:rPr>
      </w:pPr>
    </w:p>
    <w:p w:rsidR="009A5960" w:rsidRPr="00B32E70" w:rsidRDefault="009A5960" w:rsidP="009A5960">
      <w:pPr>
        <w:pStyle w:val="1"/>
        <w:tabs>
          <w:tab w:val="left" w:pos="0"/>
          <w:tab w:val="left" w:pos="2419"/>
          <w:tab w:val="center" w:pos="4431"/>
          <w:tab w:val="left" w:pos="5059"/>
          <w:tab w:val="right" w:pos="9181"/>
        </w:tabs>
        <w:ind w:left="20" w:firstLine="547"/>
      </w:pPr>
      <w:r w:rsidRPr="00B32E70">
        <w:t>Примерные программы</w:t>
      </w:r>
    </w:p>
    <w:p w:rsidR="009A5960" w:rsidRPr="00C6476A" w:rsidRDefault="009A5960" w:rsidP="009A5960">
      <w:pPr>
        <w:pStyle w:val="1"/>
        <w:tabs>
          <w:tab w:val="left" w:pos="-142"/>
          <w:tab w:val="left" w:pos="0"/>
          <w:tab w:val="left" w:pos="2419"/>
          <w:tab w:val="center" w:pos="4431"/>
          <w:tab w:val="left" w:pos="5059"/>
          <w:tab w:val="right" w:pos="9181"/>
        </w:tabs>
        <w:ind w:left="23" w:firstLine="709"/>
        <w:jc w:val="both"/>
        <w:rPr>
          <w:b w:val="0"/>
        </w:rPr>
      </w:pPr>
      <w:r>
        <w:rPr>
          <w:b w:val="0"/>
        </w:rPr>
        <w:t>Примерная</w:t>
      </w:r>
      <w:r w:rsidRPr="009A5960">
        <w:rPr>
          <w:b w:val="0"/>
        </w:rPr>
        <w:t xml:space="preserve"> </w:t>
      </w:r>
      <w:r>
        <w:rPr>
          <w:b w:val="0"/>
        </w:rPr>
        <w:t>программа</w:t>
      </w:r>
      <w:r w:rsidRPr="009A5960">
        <w:rPr>
          <w:b w:val="0"/>
        </w:rPr>
        <w:t xml:space="preserve"> </w:t>
      </w:r>
      <w:r w:rsidRPr="00C6476A">
        <w:rPr>
          <w:b w:val="0"/>
        </w:rPr>
        <w:t>для</w:t>
      </w:r>
      <w:r w:rsidRPr="009A5960">
        <w:rPr>
          <w:b w:val="0"/>
        </w:rPr>
        <w:t xml:space="preserve"> </w:t>
      </w:r>
      <w:r>
        <w:rPr>
          <w:b w:val="0"/>
        </w:rPr>
        <w:tab/>
        <w:t>образовательных</w:t>
      </w:r>
      <w:r w:rsidRPr="009A5960">
        <w:rPr>
          <w:b w:val="0"/>
        </w:rPr>
        <w:t xml:space="preserve"> </w:t>
      </w:r>
      <w:r w:rsidRPr="00C6476A">
        <w:rPr>
          <w:b w:val="0"/>
        </w:rPr>
        <w:t xml:space="preserve">организаций </w:t>
      </w:r>
      <w:r>
        <w:rPr>
          <w:b w:val="0"/>
        </w:rPr>
        <w:t>(учреждений) Луганской</w:t>
      </w:r>
      <w:r w:rsidRPr="009A5960">
        <w:rPr>
          <w:b w:val="0"/>
        </w:rPr>
        <w:t xml:space="preserve"> </w:t>
      </w:r>
      <w:r>
        <w:rPr>
          <w:b w:val="0"/>
        </w:rPr>
        <w:t>Народной</w:t>
      </w:r>
      <w:r w:rsidRPr="009A5960">
        <w:rPr>
          <w:b w:val="0"/>
        </w:rPr>
        <w:t xml:space="preserve"> </w:t>
      </w:r>
      <w:r>
        <w:rPr>
          <w:b w:val="0"/>
        </w:rPr>
        <w:t>Республики</w:t>
      </w:r>
      <w:r w:rsidRPr="009A5960">
        <w:rPr>
          <w:b w:val="0"/>
        </w:rPr>
        <w:t xml:space="preserve"> </w:t>
      </w:r>
      <w:r w:rsidRPr="00C6476A">
        <w:rPr>
          <w:b w:val="0"/>
        </w:rPr>
        <w:t>по</w:t>
      </w:r>
      <w:r w:rsidRPr="009A5960">
        <w:rPr>
          <w:b w:val="0"/>
        </w:rPr>
        <w:t xml:space="preserve">  </w:t>
      </w:r>
      <w:r>
        <w:rPr>
          <w:b w:val="0"/>
        </w:rPr>
        <w:t>праву</w:t>
      </w:r>
      <w:r w:rsidRPr="009A5960">
        <w:rPr>
          <w:b w:val="0"/>
        </w:rPr>
        <w:t xml:space="preserve"> </w:t>
      </w:r>
      <w:r w:rsidRPr="00C6476A">
        <w:rPr>
          <w:b w:val="0"/>
        </w:rPr>
        <w:t>для</w:t>
      </w:r>
      <w:r w:rsidRPr="009A5960">
        <w:rPr>
          <w:b w:val="0"/>
        </w:rPr>
        <w:t xml:space="preserve"> </w:t>
      </w:r>
      <w:r w:rsidRPr="00C6476A">
        <w:rPr>
          <w:b w:val="0"/>
        </w:rPr>
        <w:t>Х-ХI классов (базовый уровень)-</w:t>
      </w:r>
      <w:r w:rsidRPr="00C6476A">
        <w:t xml:space="preserve"> </w:t>
      </w:r>
      <w:hyperlink r:id="rId6" w:history="1">
        <w:r w:rsidRPr="00C6476A">
          <w:rPr>
            <w:rStyle w:val="a3"/>
            <w:b w:val="0"/>
          </w:rPr>
          <w:t>http://nmcro.ru/uchebnye-programmy-dlya-sredneobrazovatelnyx-uchebnyx-uchrezhdenij-lnr</w:t>
        </w:r>
      </w:hyperlink>
      <w:r>
        <w:rPr>
          <w:b w:val="0"/>
        </w:rPr>
        <w:t>.</w:t>
      </w:r>
    </w:p>
    <w:p w:rsidR="009A5960" w:rsidRPr="00C6476A" w:rsidRDefault="009A5960" w:rsidP="009A5960">
      <w:pPr>
        <w:pStyle w:val="1"/>
        <w:tabs>
          <w:tab w:val="left" w:pos="-142"/>
          <w:tab w:val="left" w:pos="0"/>
          <w:tab w:val="left" w:pos="2419"/>
          <w:tab w:val="center" w:pos="4431"/>
          <w:tab w:val="left" w:pos="5059"/>
          <w:tab w:val="right" w:pos="9181"/>
        </w:tabs>
        <w:ind w:left="23" w:firstLine="709"/>
        <w:jc w:val="both"/>
        <w:rPr>
          <w:b w:val="0"/>
        </w:rPr>
      </w:pPr>
      <w:r>
        <w:rPr>
          <w:b w:val="0"/>
        </w:rPr>
        <w:t xml:space="preserve">Примерная программа </w:t>
      </w:r>
      <w:r w:rsidRPr="00C6476A">
        <w:rPr>
          <w:b w:val="0"/>
        </w:rPr>
        <w:t>для</w:t>
      </w:r>
      <w:r>
        <w:rPr>
          <w:b w:val="0"/>
        </w:rPr>
        <w:t xml:space="preserve"> </w:t>
      </w:r>
      <w:r>
        <w:rPr>
          <w:b w:val="0"/>
        </w:rPr>
        <w:tab/>
        <w:t xml:space="preserve">образовательных </w:t>
      </w:r>
      <w:r w:rsidRPr="00C6476A">
        <w:rPr>
          <w:b w:val="0"/>
        </w:rPr>
        <w:t xml:space="preserve">организаций </w:t>
      </w:r>
      <w:r>
        <w:rPr>
          <w:b w:val="0"/>
        </w:rPr>
        <w:t xml:space="preserve">(учреждений) Луганской Народной Республики </w:t>
      </w:r>
      <w:r w:rsidRPr="00C6476A">
        <w:rPr>
          <w:b w:val="0"/>
        </w:rPr>
        <w:t>по</w:t>
      </w:r>
      <w:r w:rsidRPr="00C6476A">
        <w:rPr>
          <w:b w:val="0"/>
        </w:rPr>
        <w:tab/>
      </w:r>
      <w:r>
        <w:rPr>
          <w:b w:val="0"/>
        </w:rPr>
        <w:t xml:space="preserve"> праву </w:t>
      </w:r>
      <w:r w:rsidRPr="00C6476A">
        <w:rPr>
          <w:b w:val="0"/>
        </w:rPr>
        <w:t>для</w:t>
      </w:r>
      <w:r>
        <w:rPr>
          <w:b w:val="0"/>
        </w:rPr>
        <w:t xml:space="preserve"> </w:t>
      </w:r>
      <w:r w:rsidRPr="00C6476A">
        <w:rPr>
          <w:b w:val="0"/>
        </w:rPr>
        <w:t>Х-ХI классов (профильный уровень)-</w:t>
      </w:r>
      <w:r w:rsidRPr="00C6476A">
        <w:t xml:space="preserve"> </w:t>
      </w:r>
      <w:hyperlink r:id="rId7" w:history="1">
        <w:r w:rsidRPr="00C6476A">
          <w:rPr>
            <w:rStyle w:val="a3"/>
            <w:b w:val="0"/>
          </w:rPr>
          <w:t>http://nmcro.ru/uchebnye-programmy-dlya-sredneobrazovatelnyx-uchebnyx-uchrezhdenij-lnr</w:t>
        </w:r>
      </w:hyperlink>
      <w:r>
        <w:rPr>
          <w:b w:val="0"/>
        </w:rPr>
        <w:t>.</w:t>
      </w:r>
    </w:p>
    <w:p w:rsidR="009A5960" w:rsidRPr="00C6476A" w:rsidRDefault="009A5960" w:rsidP="009A5960">
      <w:pPr>
        <w:tabs>
          <w:tab w:val="left" w:pos="-142"/>
          <w:tab w:val="left" w:pos="0"/>
        </w:tabs>
        <w:ind w:left="23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Примерные программы не являются рабочими, а являются ориентиром для составления  адаптированных (рабочих) учебных программ по </w:t>
      </w:r>
      <w:r>
        <w:rPr>
          <w:sz w:val="28"/>
          <w:szCs w:val="28"/>
        </w:rPr>
        <w:t>праву</w:t>
      </w:r>
      <w:r w:rsidRPr="00C6476A">
        <w:rPr>
          <w:sz w:val="28"/>
          <w:szCs w:val="28"/>
        </w:rPr>
        <w:t xml:space="preserve">. </w:t>
      </w:r>
    </w:p>
    <w:p w:rsidR="009A5960" w:rsidRDefault="009A5960" w:rsidP="009A5960">
      <w:pPr>
        <w:pStyle w:val="10"/>
        <w:jc w:val="center"/>
        <w:rPr>
          <w:b/>
          <w:i/>
          <w:sz w:val="28"/>
          <w:szCs w:val="28"/>
        </w:rPr>
      </w:pPr>
    </w:p>
    <w:p w:rsidR="009A5960" w:rsidRPr="00663A0A" w:rsidRDefault="009A5960" w:rsidP="009A5960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программы</w:t>
      </w:r>
    </w:p>
    <w:p w:rsidR="009A5960" w:rsidRDefault="009A5960" w:rsidP="009A5960">
      <w:pPr>
        <w:pStyle w:val="1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Право</w:t>
      </w:r>
      <w:r w:rsidRPr="00490C6C">
        <w:rPr>
          <w:sz w:val="28"/>
          <w:szCs w:val="28"/>
        </w:rPr>
        <w:t xml:space="preserve">. </w:t>
      </w:r>
      <w:r w:rsidRPr="00490C6C">
        <w:rPr>
          <w:rStyle w:val="3pt"/>
          <w:b w:val="0"/>
          <w:sz w:val="28"/>
          <w:szCs w:val="28"/>
        </w:rPr>
        <w:t>10-11</w:t>
      </w:r>
      <w:r>
        <w:rPr>
          <w:rStyle w:val="3pt"/>
          <w:b w:val="0"/>
          <w:sz w:val="28"/>
          <w:szCs w:val="28"/>
        </w:rPr>
        <w:t xml:space="preserve"> </w:t>
      </w:r>
      <w:r w:rsidRPr="00C6476A">
        <w:rPr>
          <w:sz w:val="28"/>
          <w:szCs w:val="28"/>
        </w:rPr>
        <w:t>классы. Базовый и углублё</w:t>
      </w:r>
      <w:r>
        <w:rPr>
          <w:sz w:val="28"/>
          <w:szCs w:val="28"/>
        </w:rPr>
        <w:t>нный уровни / А.Ф.Никитин, Т.П. </w:t>
      </w:r>
      <w:r w:rsidRPr="00C6476A">
        <w:rPr>
          <w:sz w:val="28"/>
          <w:szCs w:val="28"/>
        </w:rPr>
        <w:t>Никитина. — М.: Дрофа, 2013. .-</w:t>
      </w:r>
      <w:hyperlink r:id="rId8" w:history="1">
        <w:r w:rsidRPr="00C6476A">
          <w:rPr>
            <w:rStyle w:val="a3"/>
            <w:rFonts w:eastAsia="Batang"/>
            <w:sz w:val="28"/>
            <w:szCs w:val="28"/>
          </w:rPr>
          <w:t>https://drofa-ventana.ru/</w:t>
        </w:r>
        <w:r w:rsidRPr="00C6476A">
          <w:rPr>
            <w:rStyle w:val="a3"/>
            <w:rFonts w:eastAsia="Batang"/>
            <w:sz w:val="28"/>
            <w:szCs w:val="28"/>
          </w:rPr>
          <w:t>upload/iblock/38b/38b348e7ade1b522903f8a0ecaf1a8de.pdf</w:t>
        </w:r>
      </w:hyperlink>
      <w:r>
        <w:rPr>
          <w:sz w:val="28"/>
          <w:szCs w:val="28"/>
        </w:rPr>
        <w:t>.</w:t>
      </w:r>
    </w:p>
    <w:p w:rsidR="009A5960" w:rsidRPr="00C6476A" w:rsidRDefault="009A5960" w:rsidP="009A5960">
      <w:pPr>
        <w:pStyle w:val="1"/>
        <w:ind w:firstLine="720"/>
        <w:jc w:val="both"/>
        <w:rPr>
          <w:b w:val="0"/>
        </w:rPr>
      </w:pPr>
      <w:r w:rsidRPr="00C6476A">
        <w:rPr>
          <w:b w:val="0"/>
        </w:rPr>
        <w:t xml:space="preserve">Право. </w:t>
      </w:r>
      <w:r w:rsidRPr="00490C6C">
        <w:rPr>
          <w:rStyle w:val="3pt"/>
        </w:rPr>
        <w:t>10-11</w:t>
      </w:r>
      <w:r w:rsidRPr="00C6476A">
        <w:rPr>
          <w:b w:val="0"/>
        </w:rPr>
        <w:t xml:space="preserve"> классы. Базовый и углублё</w:t>
      </w:r>
      <w:r>
        <w:rPr>
          <w:b w:val="0"/>
        </w:rPr>
        <w:t>нный уровни / А.Ф.Никитин, Т.И. </w:t>
      </w:r>
      <w:r w:rsidRPr="00C6476A">
        <w:rPr>
          <w:b w:val="0"/>
        </w:rPr>
        <w:t>Никитина. — М.: Дрофа, 2013.</w:t>
      </w:r>
    </w:p>
    <w:p w:rsidR="009A5960" w:rsidRPr="00C6476A" w:rsidRDefault="009A5960" w:rsidP="009A5960">
      <w:pPr>
        <w:pStyle w:val="1"/>
        <w:jc w:val="both"/>
        <w:rPr>
          <w:b w:val="0"/>
        </w:rPr>
      </w:pPr>
    </w:p>
    <w:p w:rsidR="009A5960" w:rsidRPr="00070208" w:rsidRDefault="009A5960" w:rsidP="009A5960">
      <w:pPr>
        <w:pStyle w:val="a6"/>
        <w:spacing w:after="0" w:line="240" w:lineRule="auto"/>
        <w:ind w:left="100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0208">
        <w:rPr>
          <w:rFonts w:ascii="Times New Roman" w:hAnsi="Times New Roman"/>
          <w:b/>
          <w:sz w:val="28"/>
          <w:szCs w:val="28"/>
          <w:lang w:val="ru-RU"/>
        </w:rPr>
        <w:t>Место учебного  предмета «Право» в базисном учебном плане</w:t>
      </w:r>
    </w:p>
    <w:p w:rsidR="009A5960" w:rsidRPr="00C6476A" w:rsidRDefault="009A5960" w:rsidP="009A596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«Право</w:t>
      </w:r>
      <w:r w:rsidRPr="00C6476A">
        <w:rPr>
          <w:rFonts w:ascii="Times New Roman" w:hAnsi="Times New Roman" w:cs="Times New Roman"/>
          <w:sz w:val="28"/>
          <w:szCs w:val="28"/>
        </w:rPr>
        <w:t>» изучаетс</w:t>
      </w:r>
      <w:r>
        <w:rPr>
          <w:rFonts w:ascii="Times New Roman" w:hAnsi="Times New Roman" w:cs="Times New Roman"/>
          <w:sz w:val="28"/>
          <w:szCs w:val="28"/>
        </w:rPr>
        <w:t xml:space="preserve">я на уровне среднего (полного) </w:t>
      </w:r>
      <w:r w:rsidRPr="00C6476A">
        <w:rPr>
          <w:rFonts w:ascii="Times New Roman" w:hAnsi="Times New Roman" w:cs="Times New Roman"/>
          <w:sz w:val="28"/>
          <w:szCs w:val="28"/>
        </w:rPr>
        <w:t xml:space="preserve">общего образования в  X -XI классах на </w:t>
      </w:r>
      <w:r w:rsidRPr="00C6476A">
        <w:rPr>
          <w:rFonts w:ascii="Times New Roman" w:hAnsi="Times New Roman" w:cs="Times New Roman"/>
          <w:i/>
          <w:iCs/>
          <w:sz w:val="28"/>
          <w:szCs w:val="28"/>
        </w:rPr>
        <w:t>базовом уровне</w:t>
      </w:r>
      <w:r w:rsidRPr="00C6476A">
        <w:rPr>
          <w:rFonts w:ascii="Times New Roman" w:hAnsi="Times New Roman" w:cs="Times New Roman"/>
          <w:sz w:val="28"/>
          <w:szCs w:val="28"/>
        </w:rPr>
        <w:t xml:space="preserve"> в общем объеме  34 часов.</w:t>
      </w:r>
    </w:p>
    <w:p w:rsidR="009A5960" w:rsidRPr="00C6476A" w:rsidRDefault="009A5960" w:rsidP="009A5960">
      <w:pPr>
        <w:pStyle w:val="3"/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A5960" w:rsidRPr="00C6476A" w:rsidRDefault="009A5960" w:rsidP="009A5960">
      <w:pPr>
        <w:pStyle w:val="3"/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Примерный недельный (годовой) учебный план среднего (полного)  общего образования по праву  </w:t>
      </w:r>
      <w:r w:rsidRPr="00C6476A">
        <w:rPr>
          <w:rFonts w:ascii="Times New Roman" w:hAnsi="Times New Roman"/>
          <w:b/>
          <w:bCs/>
          <w:iCs/>
          <w:sz w:val="24"/>
          <w:szCs w:val="24"/>
        </w:rPr>
        <w:t>(базовый уровень)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3"/>
        <w:gridCol w:w="2060"/>
        <w:gridCol w:w="2089"/>
        <w:gridCol w:w="1918"/>
        <w:gridCol w:w="1707"/>
      </w:tblGrid>
      <w:tr w:rsidR="009A5960" w:rsidRPr="00C6476A" w:rsidTr="00954D27">
        <w:trPr>
          <w:trHeight w:val="300"/>
        </w:trPr>
        <w:tc>
          <w:tcPr>
            <w:tcW w:w="1911" w:type="dxa"/>
            <w:vMerge w:val="restart"/>
          </w:tcPr>
          <w:p w:rsidR="009A5960" w:rsidRPr="00C6476A" w:rsidRDefault="009A5960" w:rsidP="00954D27">
            <w:pPr>
              <w:jc w:val="center"/>
            </w:pPr>
            <w:r w:rsidRPr="00C6476A">
              <w:t>Предметная область</w:t>
            </w:r>
          </w:p>
        </w:tc>
        <w:tc>
          <w:tcPr>
            <w:tcW w:w="2095" w:type="dxa"/>
            <w:vMerge w:val="restart"/>
          </w:tcPr>
          <w:p w:rsidR="009A5960" w:rsidRPr="00C6476A" w:rsidRDefault="009A5960" w:rsidP="00954D27">
            <w:pPr>
              <w:jc w:val="center"/>
            </w:pPr>
            <w:r w:rsidRPr="00C6476A">
              <w:t>Учебный предмет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>
              <w:t>Количество часов в неделю (</w:t>
            </w:r>
            <w:r w:rsidRPr="00C6476A">
              <w:t>в год)</w:t>
            </w:r>
          </w:p>
        </w:tc>
      </w:tr>
      <w:tr w:rsidR="009A5960" w:rsidRPr="00C6476A" w:rsidTr="00954D27">
        <w:trPr>
          <w:trHeight w:val="270"/>
        </w:trPr>
        <w:tc>
          <w:tcPr>
            <w:tcW w:w="1911" w:type="dxa"/>
            <w:vMerge/>
          </w:tcPr>
          <w:p w:rsidR="009A5960" w:rsidRPr="00C6476A" w:rsidRDefault="009A5960" w:rsidP="00954D27">
            <w:pPr>
              <w:jc w:val="center"/>
            </w:pPr>
          </w:p>
        </w:tc>
        <w:tc>
          <w:tcPr>
            <w:tcW w:w="2095" w:type="dxa"/>
            <w:vMerge/>
          </w:tcPr>
          <w:p w:rsidR="009A5960" w:rsidRPr="00C6476A" w:rsidRDefault="009A5960" w:rsidP="00954D2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XI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Всего</w:t>
            </w:r>
          </w:p>
        </w:tc>
      </w:tr>
      <w:tr w:rsidR="009A5960" w:rsidRPr="00C6476A" w:rsidTr="00954D27">
        <w:tc>
          <w:tcPr>
            <w:tcW w:w="1911" w:type="dxa"/>
          </w:tcPr>
          <w:p w:rsidR="009A5960" w:rsidRPr="00C6476A" w:rsidRDefault="009A5960" w:rsidP="00954D27">
            <w:pPr>
              <w:jc w:val="center"/>
            </w:pPr>
            <w:r w:rsidRPr="00C6476A">
              <w:t>Общественно-научные предметы</w:t>
            </w:r>
          </w:p>
        </w:tc>
        <w:tc>
          <w:tcPr>
            <w:tcW w:w="2095" w:type="dxa"/>
          </w:tcPr>
          <w:p w:rsidR="009A5960" w:rsidRPr="00C6476A" w:rsidRDefault="009A5960" w:rsidP="00954D27">
            <w:pPr>
              <w:jc w:val="center"/>
            </w:pPr>
            <w:r w:rsidRPr="00C6476A">
              <w:t>Право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0,5 (17)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0,5(17)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1 (34)</w:t>
            </w:r>
          </w:p>
        </w:tc>
      </w:tr>
    </w:tbl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Примерная программа среднего (полного) общего образования по праву (базовый уровень) рассчитана на 34 учебных часов. При этом в ней предусмотрен резерв свободного учебного времени в объеме 5 учебных часов.</w:t>
      </w: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 xml:space="preserve">Преподавание предмета «Право» на </w:t>
      </w:r>
      <w:r w:rsidRPr="00C6476A">
        <w:rPr>
          <w:i/>
          <w:iCs/>
          <w:sz w:val="28"/>
          <w:szCs w:val="28"/>
        </w:rPr>
        <w:t xml:space="preserve">профильном уровне </w:t>
      </w:r>
      <w:r w:rsidRPr="00C6476A">
        <w:rPr>
          <w:sz w:val="28"/>
          <w:szCs w:val="28"/>
        </w:rPr>
        <w:t xml:space="preserve">в X-XI классах обеспечивается в </w:t>
      </w:r>
      <w:r w:rsidRPr="00C6476A">
        <w:rPr>
          <w:bCs/>
          <w:iCs/>
          <w:sz w:val="28"/>
          <w:szCs w:val="28"/>
        </w:rPr>
        <w:t>социально-гуманитарном и социально-экономическом</w:t>
      </w:r>
      <w:r w:rsidRPr="00C6476A">
        <w:rPr>
          <w:b/>
          <w:bCs/>
          <w:i/>
          <w:iCs/>
          <w:sz w:val="28"/>
          <w:szCs w:val="28"/>
        </w:rPr>
        <w:t xml:space="preserve"> </w:t>
      </w:r>
      <w:r w:rsidRPr="00C6476A">
        <w:rPr>
          <w:bCs/>
          <w:iCs/>
          <w:sz w:val="28"/>
          <w:szCs w:val="28"/>
        </w:rPr>
        <w:t xml:space="preserve">профилях </w:t>
      </w:r>
      <w:r w:rsidRPr="00C6476A">
        <w:rPr>
          <w:sz w:val="28"/>
          <w:szCs w:val="28"/>
        </w:rPr>
        <w:t>в общем объеме 136 часов, по 68 часов  в год, из расчета 2 учебных часа в неделю.</w:t>
      </w:r>
    </w:p>
    <w:p w:rsidR="009A5960" w:rsidRPr="00C6476A" w:rsidRDefault="009A5960" w:rsidP="009A5960">
      <w:pPr>
        <w:ind w:right="-146" w:firstLine="540"/>
        <w:jc w:val="both"/>
        <w:rPr>
          <w:sz w:val="28"/>
          <w:szCs w:val="28"/>
        </w:rPr>
      </w:pPr>
    </w:p>
    <w:p w:rsidR="009A5960" w:rsidRPr="00C6476A" w:rsidRDefault="009A5960" w:rsidP="009A5960">
      <w:pPr>
        <w:pStyle w:val="3"/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Примерный недельный (годовой) учебный план среднего (полного)  общего образования по праву  </w:t>
      </w:r>
      <w:r w:rsidRPr="00C6476A">
        <w:rPr>
          <w:rFonts w:ascii="Times New Roman" w:hAnsi="Times New Roman"/>
          <w:b/>
          <w:bCs/>
          <w:iCs/>
          <w:sz w:val="24"/>
          <w:szCs w:val="24"/>
        </w:rPr>
        <w:t>(профильный уровень)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5"/>
        <w:gridCol w:w="2071"/>
        <w:gridCol w:w="2106"/>
        <w:gridCol w:w="1877"/>
        <w:gridCol w:w="1718"/>
      </w:tblGrid>
      <w:tr w:rsidR="009A5960" w:rsidRPr="00C6476A" w:rsidTr="00954D27">
        <w:trPr>
          <w:trHeight w:val="300"/>
        </w:trPr>
        <w:tc>
          <w:tcPr>
            <w:tcW w:w="1951" w:type="dxa"/>
            <w:vMerge w:val="restart"/>
          </w:tcPr>
          <w:p w:rsidR="009A5960" w:rsidRPr="00C6476A" w:rsidRDefault="009A5960" w:rsidP="00954D27">
            <w:pPr>
              <w:jc w:val="center"/>
            </w:pPr>
            <w:r w:rsidRPr="00C6476A"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9A5960" w:rsidRPr="00C6476A" w:rsidRDefault="009A5960" w:rsidP="00954D27">
            <w:pPr>
              <w:jc w:val="center"/>
            </w:pPr>
            <w:r w:rsidRPr="00C6476A">
              <w:t>Учебный предмет</w:t>
            </w:r>
          </w:p>
        </w:tc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Количество часов в нед</w:t>
            </w:r>
            <w:r>
              <w:t>елю (</w:t>
            </w:r>
            <w:r w:rsidRPr="00C6476A">
              <w:t>в год)</w:t>
            </w:r>
          </w:p>
        </w:tc>
      </w:tr>
      <w:tr w:rsidR="009A5960" w:rsidRPr="00C6476A" w:rsidTr="00954D27">
        <w:trPr>
          <w:trHeight w:val="270"/>
        </w:trPr>
        <w:tc>
          <w:tcPr>
            <w:tcW w:w="1951" w:type="dxa"/>
            <w:vMerge/>
          </w:tcPr>
          <w:p w:rsidR="009A5960" w:rsidRPr="00C6476A" w:rsidRDefault="009A5960" w:rsidP="00954D27">
            <w:pPr>
              <w:jc w:val="center"/>
            </w:pPr>
          </w:p>
        </w:tc>
        <w:tc>
          <w:tcPr>
            <w:tcW w:w="2268" w:type="dxa"/>
            <w:vMerge/>
          </w:tcPr>
          <w:p w:rsidR="009A5960" w:rsidRPr="00C6476A" w:rsidRDefault="009A5960" w:rsidP="00954D27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X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XI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Всего</w:t>
            </w:r>
          </w:p>
        </w:tc>
      </w:tr>
      <w:tr w:rsidR="009A5960" w:rsidRPr="00C6476A" w:rsidTr="00954D27">
        <w:tc>
          <w:tcPr>
            <w:tcW w:w="1951" w:type="dxa"/>
          </w:tcPr>
          <w:p w:rsidR="009A5960" w:rsidRPr="00C6476A" w:rsidRDefault="009A5960" w:rsidP="00954D27">
            <w:pPr>
              <w:jc w:val="center"/>
            </w:pPr>
            <w:r w:rsidRPr="00C6476A">
              <w:t>Общественно-научные предметы</w:t>
            </w:r>
          </w:p>
        </w:tc>
        <w:tc>
          <w:tcPr>
            <w:tcW w:w="2268" w:type="dxa"/>
          </w:tcPr>
          <w:p w:rsidR="009A5960" w:rsidRPr="00C6476A" w:rsidRDefault="009A5960" w:rsidP="00954D27">
            <w:pPr>
              <w:jc w:val="center"/>
            </w:pPr>
            <w:r w:rsidRPr="00C6476A">
              <w:t>Право</w:t>
            </w: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2 (68)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2 (68)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9A5960" w:rsidRPr="00C6476A" w:rsidRDefault="009A5960" w:rsidP="00954D27">
            <w:pPr>
              <w:jc w:val="center"/>
            </w:pPr>
            <w:r w:rsidRPr="00C6476A">
              <w:t>4 (136)</w:t>
            </w:r>
          </w:p>
        </w:tc>
      </w:tr>
    </w:tbl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Примерная программа среднего (полного) общего образования по праву (профильный уровень) рассчитана на 136 учебных часов. При этом в ней предусмотрен резерв свободного учебного времени в объеме 20 учебных часов.</w:t>
      </w: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iCs/>
          <w:sz w:val="28"/>
          <w:szCs w:val="28"/>
        </w:rPr>
        <w:t>Рекомендуем резервное время для изучения права в  X- XI классах использовать на самостоятельную и практическую работу учащихся, на изучение нормативно-правовой базы Луганской Народной Республики.</w:t>
      </w:r>
    </w:p>
    <w:p w:rsidR="009A5960" w:rsidRDefault="009A5960" w:rsidP="009A5960">
      <w:pPr>
        <w:pStyle w:val="a6"/>
        <w:spacing w:after="0" w:line="240" w:lineRule="auto"/>
        <w:ind w:left="1004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A5960" w:rsidRPr="00070208" w:rsidRDefault="009A5960" w:rsidP="009A5960">
      <w:pPr>
        <w:pStyle w:val="a6"/>
        <w:spacing w:after="0" w:line="240" w:lineRule="auto"/>
        <w:ind w:left="100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0208">
        <w:rPr>
          <w:rFonts w:ascii="Times New Roman" w:hAnsi="Times New Roman"/>
          <w:b/>
          <w:sz w:val="28"/>
          <w:szCs w:val="28"/>
          <w:lang w:val="ru-RU"/>
        </w:rPr>
        <w:t>Особенности преподавания права в 2017-2018 уч.г.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Правоведческое знание как один из важнейших компонентов социально-гуманитарного образования личности, является основой и приоритетом системы среднего общего образования, обеспечивающ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 xml:space="preserve">е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учащихся,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– гражданина, налогоплательщика, избирателя, члена семьи, собственника, потребителя, работника. 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Будучи одновременно и областью науки, и областью практической деятельности, право предоставляет уникальные возможности для решения современных педагогических задач, позволяя ученику не только приобрести правовые и связанные с ними знания о различных сферах общественной жизни, но и развить особые способности и практические навыки социального действия. Уникальность права как специфической формы общественного сознания и общественной практики, обусловливает также значительный воспитательный потенциал правовых курсов.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современное правовое образование рассматривается как условие формирования индивидуальных способностей, получения знаний и навыков социального функционирования. Эти три элемента правового образования реализуются и приобретают различное значение на каждой ступени образования. 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 xml:space="preserve">Отличительными особенностями изучения права в образовательных организациях (учреждениях) Луганской Народной Республики в 2017-2018 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lastRenderedPageBreak/>
        <w:t>гг. являются:</w:t>
      </w:r>
    </w:p>
    <w:p w:rsidR="009A5960" w:rsidRPr="00C6476A" w:rsidRDefault="009A5960" w:rsidP="009A59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>практико-ориентированный подход к изложению и применению правовой информации в реальной жизни;</w:t>
      </w:r>
    </w:p>
    <w:p w:rsidR="009A5960" w:rsidRPr="00C6476A" w:rsidRDefault="009A5960" w:rsidP="009A59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усиление акцента на формировании правовой грамотности лиц; </w:t>
      </w:r>
    </w:p>
    <w:p w:rsidR="009A5960" w:rsidRPr="00C6476A" w:rsidRDefault="009A5960" w:rsidP="009A59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>создание условий адаптации к социальной действительности;</w:t>
      </w:r>
    </w:p>
    <w:p w:rsidR="009A5960" w:rsidRPr="00C6476A" w:rsidRDefault="009A5960" w:rsidP="009A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акцентирование внимания  на  изучение основ международного права и права Луганской Народной Республики;</w:t>
      </w:r>
    </w:p>
    <w:p w:rsidR="009A5960" w:rsidRPr="00C6476A" w:rsidRDefault="009A5960" w:rsidP="009A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формирование уважения к праву и профилактика правонарушений в молодежной среде;</w:t>
      </w:r>
    </w:p>
    <w:p w:rsidR="009A5960" w:rsidRPr="00C6476A" w:rsidRDefault="009A5960" w:rsidP="009A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Учителям права для реализации требований стандарта к уровню правовой подготовки учащихся, формирования правовой компетенции, рекомендуется:</w:t>
      </w:r>
    </w:p>
    <w:p w:rsidR="009A5960" w:rsidRPr="00C6476A" w:rsidRDefault="009A5960" w:rsidP="009A5960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Уделять более пристальное внимание сложным теоретическим вопросам и составляющим курса базового и профильного уровней, используя при этом различные дополнительные материалы. Большим подспорьем в овладении содержанием курса может стать постоянное обращение к материалам СМИ, к ресурсам сети Интернет. </w:t>
      </w:r>
    </w:p>
    <w:p w:rsidR="009A5960" w:rsidRPr="00C6476A" w:rsidRDefault="009A5960" w:rsidP="009A5960">
      <w:pPr>
        <w:ind w:left="40" w:right="20" w:firstLine="567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>2. Для реализации деятельностного подхода к правовому образованию, необходимо изменить традиционные методики и формы подачи материала школьного курса: материал неэффективно излагать исключительно на теоретическом уровне, - гораздо выше уровень его освоения и понимания через рассмотрение конкретных примеров, реальных ситуаций из социальной жизни. С этой целью важно сочетать в учебном процессе различные виды индивидуальной, парной, групповой работы, проведение деловых, имитационных, сюжетных, ролевых и других игр по праву, работу с источниками, творческие проекты, мозговые штурмы.</w:t>
      </w:r>
    </w:p>
    <w:p w:rsidR="009A5960" w:rsidRPr="00C6476A" w:rsidRDefault="009A5960" w:rsidP="009A5960">
      <w:pPr>
        <w:ind w:left="40" w:right="20" w:firstLine="567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>3. Для формирования информационной и коммуникативной компетенции учащихся уделять больше внимания работе с правовыми актами Луганской Народной Республики, развивать умение точно истолковывать и глубоко анализировать тексты правового содержания, грамотно формулировать и аргументировать собственные мысли.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>Особое внимание уделять видам учебной деятельности, направленным на умение рассуждать, приводить аргументы по определенным правовым проблемам, решать проблемные, логические, творческие задачи, отражающи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 xml:space="preserve"> актуальные проблемы нравственно-правового знания. 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>При изучении курса на профильном уровне обратить внимание на усвоение знаний на высоком уровне теоретического обобщения, отработку ведущих понятий, их признаков и характерных черт, умение мысленно моделировать типичные социальные ситуации, устанавливать связи между теоретическими положениями и иллюстрирующими их конкретными примерами. Активно использовать работу с различными источниками правовой информации.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>Больше внимания в преподавании права уделять раскрытию и проработке понятий курса на конкретном материале, демонстрации возможностей использовать теоретические знания для решения практических правовых задач. Рекомендуется познакомить учеников с технологией решения практических задач (алгоритм составлен на основе памятки, разработанной авторским коллективом под руководством Л.Н. Боголюбова):</w:t>
      </w:r>
    </w:p>
    <w:p w:rsidR="009A5960" w:rsidRDefault="009A5960" w:rsidP="009A5960">
      <w:pPr>
        <w:pStyle w:val="4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9A5960" w:rsidRPr="00AA4E1C" w:rsidRDefault="009A5960" w:rsidP="009A5960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E1C">
        <w:rPr>
          <w:rFonts w:ascii="Times New Roman" w:hAnsi="Times New Roman" w:cs="Times New Roman"/>
          <w:sz w:val="28"/>
          <w:szCs w:val="28"/>
        </w:rPr>
        <w:t>Памятка решения практических правовых задач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Внимательно ознакомьтесь с условием задачи и запомните вопрос. В случае необходимости уточните значение непонятных терминов с помощью словарей, справочников и учебника (в условиях экзамена придется рассчитывать только на свои знания).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Соотнесите вопросы, сформулированные в задаче, с ее условием:</w:t>
      </w:r>
    </w:p>
    <w:p w:rsidR="009A5960" w:rsidRPr="00C6476A" w:rsidRDefault="009A5960" w:rsidP="009A5960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определите, какая полезная для решения задачи информация содержится в ее условии;</w:t>
      </w:r>
    </w:p>
    <w:p w:rsidR="009A5960" w:rsidRPr="00C6476A" w:rsidRDefault="009A5960" w:rsidP="009A5960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подумайте, не противоречат ли друг другу данные условия задачи (именно противоречия данных может подсказать путь решения).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Подумайте, какие дополнительные знания следует привлечь для решения задачи, к каким источникам, нормативно-правовым актам следует обратиться.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Наметьте предполагаемый ответ в соответствии с вопросом или предписанием.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Продумайте аргументы, подкрепляющие ваше решение.</w:t>
      </w:r>
    </w:p>
    <w:p w:rsidR="009A5960" w:rsidRPr="00C6476A" w:rsidRDefault="009A5960" w:rsidP="009A596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Убедитесь в правильности вашего ответа:</w:t>
      </w:r>
    </w:p>
    <w:p w:rsidR="009A5960" w:rsidRPr="00C6476A" w:rsidRDefault="009A5960" w:rsidP="009A596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соответствует ли ваш ответ существу вопроса;</w:t>
      </w:r>
    </w:p>
    <w:p w:rsidR="009A5960" w:rsidRPr="00C6476A" w:rsidRDefault="009A5960" w:rsidP="009A596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если в задаче дано несколько вопросов, то дан ли ответ на каждый из них;</w:t>
      </w:r>
    </w:p>
    <w:p w:rsidR="009A5960" w:rsidRPr="00C6476A" w:rsidRDefault="009A5960" w:rsidP="009A596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нет ли противоречий между вашими аргументами;</w:t>
      </w:r>
    </w:p>
    <w:p w:rsidR="009A5960" w:rsidRPr="00C6476A" w:rsidRDefault="009A5960" w:rsidP="009A596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нет ли в условии задачи данных, противоречащих вашему решению;</w:t>
      </w:r>
    </w:p>
    <w:p w:rsidR="009A5960" w:rsidRPr="00C6476A" w:rsidRDefault="009A5960" w:rsidP="009A596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можно ли считать предложенный путь решения единственно возможным;</w:t>
      </w:r>
    </w:p>
    <w:p w:rsidR="009A5960" w:rsidRPr="00C6476A" w:rsidRDefault="009A5960" w:rsidP="009A596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 xml:space="preserve"> не следуют ли из условия задачи какие-либо другие выводы помимо намеченных вами.</w:t>
      </w:r>
    </w:p>
    <w:p w:rsidR="009A5960" w:rsidRDefault="009A5960" w:rsidP="009A5960">
      <w:pPr>
        <w:ind w:firstLine="709"/>
        <w:jc w:val="both"/>
        <w:rPr>
          <w:sz w:val="28"/>
          <w:szCs w:val="28"/>
        </w:rPr>
      </w:pP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AA4E1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A4E1C">
        <w:rPr>
          <w:sz w:val="28"/>
          <w:szCs w:val="28"/>
        </w:rPr>
        <w:t>Видами контроля знаний</w:t>
      </w:r>
      <w:r w:rsidRPr="00AA4E1C">
        <w:rPr>
          <w:rStyle w:val="hps"/>
          <w:rFonts w:eastAsia="Batang"/>
          <w:sz w:val="28"/>
          <w:szCs w:val="28"/>
        </w:rPr>
        <w:t xml:space="preserve"> по «Праву» в системе основного общего  и </w:t>
      </w:r>
      <w:r w:rsidRPr="00AA4E1C">
        <w:rPr>
          <w:sz w:val="28"/>
          <w:szCs w:val="28"/>
        </w:rPr>
        <w:t>среднего</w:t>
      </w:r>
      <w:r w:rsidRPr="00C6476A">
        <w:rPr>
          <w:sz w:val="28"/>
          <w:szCs w:val="28"/>
        </w:rPr>
        <w:t xml:space="preserve"> (полного) общего образования являются текущее, тематическое, семестровое, годовое оценивание и государственная итоговая аттестация.</w:t>
      </w: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Формами контроля могут быть: устный ответ, доклады, работа с нормативно-правовой базой, презентация выполненной работы (проекты), тестирование, работа с документами, письменная проверочная работа, самостоятельная работа,  написание эссе и  т.д.</w:t>
      </w:r>
    </w:p>
    <w:p w:rsidR="009A5960" w:rsidRPr="00EC11DA" w:rsidRDefault="009A5960" w:rsidP="009A5960">
      <w:pPr>
        <w:pStyle w:val="a6"/>
        <w:spacing w:after="0" w:line="240" w:lineRule="auto"/>
        <w:ind w:left="1004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A5960" w:rsidRPr="00EC11DA" w:rsidRDefault="009A5960" w:rsidP="009A596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EC11DA">
        <w:rPr>
          <w:rFonts w:ascii="Times New Roman" w:hAnsi="Times New Roman"/>
          <w:b/>
          <w:bCs/>
          <w:iCs/>
          <w:sz w:val="28"/>
          <w:szCs w:val="28"/>
          <w:lang w:val="ru-RU"/>
        </w:rPr>
        <w:t>Учебники и учебные пособия, рекомендуемые к использованию</w:t>
      </w:r>
    </w:p>
    <w:p w:rsidR="009A5960" w:rsidRPr="00EC11DA" w:rsidRDefault="009A5960" w:rsidP="009A5960">
      <w:pPr>
        <w:jc w:val="center"/>
        <w:rPr>
          <w:b/>
          <w:bCs/>
          <w:iCs/>
          <w:sz w:val="28"/>
          <w:szCs w:val="28"/>
        </w:rPr>
      </w:pPr>
      <w:r w:rsidRPr="00EC11DA">
        <w:rPr>
          <w:b/>
          <w:bCs/>
          <w:iCs/>
          <w:sz w:val="28"/>
          <w:szCs w:val="28"/>
        </w:rPr>
        <w:t>в общеобразовательных учреждениях  в 2017-2018 учебном году</w:t>
      </w:r>
    </w:p>
    <w:p w:rsidR="009A5960" w:rsidRPr="00C6476A" w:rsidRDefault="009A5960" w:rsidP="009A5960">
      <w:pPr>
        <w:pStyle w:val="1"/>
        <w:ind w:firstLine="709"/>
        <w:jc w:val="both"/>
        <w:rPr>
          <w:b w:val="0"/>
        </w:rPr>
      </w:pPr>
      <w:r w:rsidRPr="00B7247B">
        <w:rPr>
          <w:b w:val="0"/>
        </w:rPr>
        <w:lastRenderedPageBreak/>
        <w:t>Правовые акты Луганской Народной Республики:</w:t>
      </w:r>
      <w:r w:rsidRPr="00C6476A">
        <w:rPr>
          <w:b w:val="0"/>
        </w:rPr>
        <w:t xml:space="preserve"> аннотированный каталог для образовательных организаций (учреждений) Луганской Народной Республики / сост.: Салеева Е.А., Ежова Н.Н., Федоров С.П. – Луганск, 2017. (см</w:t>
      </w:r>
      <w:r w:rsidRPr="00C6476A">
        <w:t xml:space="preserve">. </w:t>
      </w:r>
      <w:hyperlink r:id="rId9" w:history="1">
        <w:r w:rsidRPr="00C6476A">
          <w:rPr>
            <w:rStyle w:val="a3"/>
            <w:b w:val="0"/>
          </w:rPr>
          <w:t>http://nmcro.ru/</w:t>
        </w:r>
      </w:hyperlink>
      <w:r w:rsidRPr="00C6476A">
        <w:t xml:space="preserve">, </w:t>
      </w:r>
      <w:r w:rsidRPr="00C6476A">
        <w:rPr>
          <w:b w:val="0"/>
        </w:rPr>
        <w:t>раздел «Издания НМЦРО»)</w:t>
      </w:r>
      <w:r>
        <w:rPr>
          <w:b w:val="0"/>
        </w:rPr>
        <w:t>.</w:t>
      </w:r>
    </w:p>
    <w:p w:rsidR="009A5960" w:rsidRPr="00C6476A" w:rsidRDefault="009A5960" w:rsidP="009A5960">
      <w:pPr>
        <w:pStyle w:val="1"/>
        <w:ind w:firstLine="709"/>
        <w:jc w:val="both"/>
        <w:rPr>
          <w:b w:val="0"/>
        </w:rPr>
      </w:pPr>
      <w:r w:rsidRPr="00B7247B">
        <w:rPr>
          <w:b w:val="0"/>
          <w:bCs w:val="0"/>
          <w:iCs/>
          <w:lang w:eastAsia="en-US"/>
        </w:rPr>
        <w:t>Право Луганской Народной Республики: док</w:t>
      </w:r>
      <w:r>
        <w:rPr>
          <w:b w:val="0"/>
          <w:bCs w:val="0"/>
          <w:iCs/>
          <w:lang w:eastAsia="en-US"/>
        </w:rPr>
        <w:t xml:space="preserve">ументы, определения, задания и </w:t>
      </w:r>
      <w:r w:rsidRPr="00B7247B">
        <w:rPr>
          <w:b w:val="0"/>
          <w:bCs w:val="0"/>
          <w:iCs/>
          <w:lang w:eastAsia="en-US"/>
        </w:rPr>
        <w:t>схемы:</w:t>
      </w:r>
      <w:r>
        <w:rPr>
          <w:b w:val="0"/>
          <w:bCs w:val="0"/>
          <w:iCs/>
          <w:lang w:eastAsia="en-US"/>
        </w:rPr>
        <w:t xml:space="preserve"> </w:t>
      </w:r>
      <w:r w:rsidRPr="00C6476A">
        <w:rPr>
          <w:b w:val="0"/>
          <w:bCs w:val="0"/>
          <w:iCs/>
          <w:lang w:eastAsia="en-US"/>
        </w:rPr>
        <w:t xml:space="preserve">учебно-методическое </w:t>
      </w:r>
      <w:r w:rsidRPr="00C6476A">
        <w:rPr>
          <w:b w:val="0"/>
          <w:bCs w:val="0"/>
        </w:rPr>
        <w:t xml:space="preserve">пособие для образовательных организаций (учреждений) Луганской Народной Республики </w:t>
      </w:r>
      <w:r w:rsidRPr="00C6476A">
        <w:rPr>
          <w:b w:val="0"/>
        </w:rPr>
        <w:t xml:space="preserve">/ Составители:  Л.В. </w:t>
      </w:r>
      <w:r w:rsidRPr="00C6476A">
        <w:rPr>
          <w:b w:val="0"/>
          <w:iCs/>
        </w:rPr>
        <w:t>Благушина, С.П.Федоров, А.В.Чернышева  и другие; П</w:t>
      </w:r>
      <w:r w:rsidRPr="00C6476A">
        <w:rPr>
          <w:b w:val="0"/>
        </w:rPr>
        <w:t>од общей  редакцией Е.Н.Дятловой,  Л.В. Благушиной.</w:t>
      </w:r>
      <w:r>
        <w:rPr>
          <w:b w:val="0"/>
        </w:rPr>
        <w:t xml:space="preserve"> </w:t>
      </w:r>
      <w:r w:rsidRPr="00C6476A">
        <w:rPr>
          <w:b w:val="0"/>
        </w:rPr>
        <w:t>– Луганск, 2017. (см</w:t>
      </w:r>
      <w:r w:rsidRPr="00C6476A">
        <w:t xml:space="preserve">. </w:t>
      </w:r>
      <w:hyperlink r:id="rId10" w:history="1">
        <w:r w:rsidRPr="00C6476A">
          <w:rPr>
            <w:rStyle w:val="a3"/>
            <w:b w:val="0"/>
          </w:rPr>
          <w:t>http://nmcro.ru/</w:t>
        </w:r>
      </w:hyperlink>
      <w:r w:rsidRPr="00C6476A">
        <w:rPr>
          <w:b w:val="0"/>
        </w:rPr>
        <w:t>,</w:t>
      </w:r>
      <w:r w:rsidRPr="00C6476A">
        <w:t xml:space="preserve"> </w:t>
      </w:r>
      <w:r w:rsidRPr="00C6476A">
        <w:rPr>
          <w:b w:val="0"/>
        </w:rPr>
        <w:t>раздел «Издания НМЦРО»)</w:t>
      </w:r>
      <w:r>
        <w:rPr>
          <w:b w:val="0"/>
        </w:rPr>
        <w:t>.</w:t>
      </w: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Никитин А.Ф., Никитина Т.И. Право. 10-11 класс. Базовый/углубленный - М.: Изд-во «ДРОФА», 2013- </w:t>
      </w:r>
      <w:hyperlink r:id="rId11" w:history="1">
        <w:r w:rsidRPr="00C6476A">
          <w:rPr>
            <w:rStyle w:val="a3"/>
            <w:rFonts w:eastAsia="Batang"/>
            <w:sz w:val="28"/>
            <w:szCs w:val="28"/>
          </w:rPr>
          <w:t>http://nashol.com/2016012788109/pravo-10-11-klass-bazovii-i-uglublennii-urovni-nikitin-a-f-nikitina-t-i-2013.html</w:t>
        </w:r>
      </w:hyperlink>
      <w:r>
        <w:rPr>
          <w:sz w:val="28"/>
          <w:szCs w:val="28"/>
        </w:rPr>
        <w:t>.</w:t>
      </w:r>
    </w:p>
    <w:p w:rsidR="009A5960" w:rsidRPr="00C6476A" w:rsidRDefault="009A5960" w:rsidP="009A5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 А.</w:t>
      </w:r>
      <w:r w:rsidRPr="00C6476A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Право. 10—11 класс Профильный уровень:  учебник для обще</w:t>
      </w:r>
      <w:r>
        <w:rPr>
          <w:sz w:val="28"/>
          <w:szCs w:val="28"/>
        </w:rPr>
        <w:t>образовательных учреждений / А.</w:t>
      </w:r>
      <w:r w:rsidRPr="00C6476A">
        <w:rPr>
          <w:sz w:val="28"/>
          <w:szCs w:val="28"/>
        </w:rPr>
        <w:t xml:space="preserve">Ф. Никитин. — М.: Дрофа,  2011- </w:t>
      </w:r>
      <w:hyperlink r:id="rId12" w:history="1">
        <w:r w:rsidRPr="00C6476A">
          <w:rPr>
            <w:rStyle w:val="a3"/>
            <w:rFonts w:eastAsia="Batang"/>
            <w:sz w:val="28"/>
            <w:szCs w:val="28"/>
          </w:rPr>
          <w:t>http://nashol.com/2013041170581/pravo-10-11-klass-profilnii-uroven-nikitin-a-f-2011.html</w:t>
        </w:r>
      </w:hyperlink>
      <w:r>
        <w:t>.</w:t>
      </w:r>
      <w:r w:rsidRPr="00C6476A">
        <w:rPr>
          <w:sz w:val="28"/>
          <w:szCs w:val="28"/>
        </w:rPr>
        <w:t xml:space="preserve"> </w:t>
      </w:r>
    </w:p>
    <w:p w:rsidR="009A5960" w:rsidRPr="00C6476A" w:rsidRDefault="009A5960" w:rsidP="009A5960">
      <w:pPr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Интернет-ресурсы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13" w:history="1">
        <w:r w:rsidRPr="00C6476A">
          <w:rPr>
            <w:rStyle w:val="a3"/>
            <w:rFonts w:eastAsia="Batang"/>
            <w:sz w:val="28"/>
            <w:szCs w:val="28"/>
          </w:rPr>
          <w:t>https://nslnr.su</w:t>
        </w:r>
      </w:hyperlink>
      <w:r w:rsidRPr="00C6476A">
        <w:rPr>
          <w:bCs/>
          <w:sz w:val="28"/>
          <w:szCs w:val="28"/>
        </w:rPr>
        <w:t xml:space="preserve"> - официальный сайт Народного Совета Луганской Народной Республики;</w:t>
      </w:r>
      <w:r w:rsidRPr="00C6476A">
        <w:rPr>
          <w:sz w:val="28"/>
          <w:szCs w:val="28"/>
        </w:rPr>
        <w:t xml:space="preserve"> 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sz w:val="28"/>
          <w:szCs w:val="28"/>
        </w:rPr>
      </w:pPr>
      <w:hyperlink r:id="rId14" w:history="1">
        <w:r w:rsidRPr="00C6476A">
          <w:rPr>
            <w:rStyle w:val="a3"/>
            <w:rFonts w:eastAsia="Batang"/>
            <w:sz w:val="28"/>
            <w:szCs w:val="28"/>
          </w:rPr>
          <w:t>https://glava-lnr.su</w:t>
        </w:r>
      </w:hyperlink>
      <w:r w:rsidRPr="00C6476A">
        <w:rPr>
          <w:bCs/>
          <w:sz w:val="28"/>
          <w:szCs w:val="28"/>
        </w:rPr>
        <w:t xml:space="preserve"> -официальный сайт Главы Луганской Народной Республики</w:t>
      </w:r>
      <w:r w:rsidRPr="00C6476A">
        <w:rPr>
          <w:sz w:val="28"/>
          <w:szCs w:val="28"/>
        </w:rPr>
        <w:t xml:space="preserve">   </w:t>
      </w:r>
      <w:r w:rsidRPr="00C6476A">
        <w:rPr>
          <w:bCs/>
          <w:sz w:val="28"/>
          <w:szCs w:val="28"/>
        </w:rPr>
        <w:t>;</w:t>
      </w:r>
      <w:r w:rsidRPr="00C6476A">
        <w:rPr>
          <w:sz w:val="28"/>
          <w:szCs w:val="28"/>
        </w:rPr>
        <w:t xml:space="preserve"> 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15" w:history="1">
        <w:r w:rsidRPr="00C6476A">
          <w:rPr>
            <w:rStyle w:val="a3"/>
            <w:rFonts w:eastAsia="Batang"/>
            <w:sz w:val="28"/>
            <w:szCs w:val="28"/>
          </w:rPr>
          <w:t>http://sovminlnr.su</w:t>
        </w:r>
      </w:hyperlink>
      <w:r w:rsidRPr="00C6476A">
        <w:rPr>
          <w:bCs/>
          <w:sz w:val="28"/>
          <w:szCs w:val="28"/>
        </w:rPr>
        <w:t xml:space="preserve">  -  официальный сайт Совета Министров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16" w:history="1">
        <w:r w:rsidRPr="00C6476A">
          <w:rPr>
            <w:rStyle w:val="a3"/>
            <w:rFonts w:eastAsia="Batang"/>
            <w:sz w:val="28"/>
            <w:szCs w:val="28"/>
          </w:rPr>
          <w:t>https://minobr.su</w:t>
        </w:r>
      </w:hyperlink>
      <w:r w:rsidRPr="00C6476A">
        <w:rPr>
          <w:bCs/>
          <w:sz w:val="28"/>
          <w:szCs w:val="28"/>
        </w:rPr>
        <w:t xml:space="preserve"> - официальный сайт Министерства образования и науки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17" w:history="1">
        <w:r w:rsidRPr="00C6476A">
          <w:rPr>
            <w:rStyle w:val="a3"/>
            <w:rFonts w:eastAsia="Batang"/>
            <w:sz w:val="28"/>
            <w:szCs w:val="28"/>
          </w:rPr>
          <w:t>https://mu-lnr.su</w:t>
        </w:r>
      </w:hyperlink>
      <w:r w:rsidRPr="00C6476A">
        <w:rPr>
          <w:bCs/>
          <w:sz w:val="28"/>
          <w:szCs w:val="28"/>
        </w:rPr>
        <w:t xml:space="preserve"> - официальный сайт Министерства юстиции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18" w:history="1">
        <w:r w:rsidRPr="00C6476A">
          <w:rPr>
            <w:rStyle w:val="a3"/>
            <w:rFonts w:eastAsia="Batang"/>
            <w:sz w:val="28"/>
            <w:szCs w:val="28"/>
          </w:rPr>
          <w:t>https://www.mgblnr.org</w:t>
        </w:r>
      </w:hyperlink>
      <w:r w:rsidRPr="00C6476A">
        <w:rPr>
          <w:bCs/>
          <w:sz w:val="28"/>
          <w:szCs w:val="28"/>
        </w:rPr>
        <w:t xml:space="preserve"> - официальный сайт  Министерства Государственной Безопасности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19" w:history="1">
        <w:r w:rsidRPr="00C6476A">
          <w:rPr>
            <w:rStyle w:val="a3"/>
            <w:rFonts w:eastAsia="Batang"/>
            <w:sz w:val="28"/>
            <w:szCs w:val="28"/>
          </w:rPr>
          <w:t>http://mvdlnr.ru</w:t>
        </w:r>
      </w:hyperlink>
      <w:r w:rsidRPr="00C6476A">
        <w:rPr>
          <w:bCs/>
          <w:sz w:val="28"/>
          <w:szCs w:val="28"/>
        </w:rPr>
        <w:t xml:space="preserve"> - официальный сайт  Министерства Внутренних дел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20" w:history="1">
        <w:r w:rsidRPr="00C6476A">
          <w:rPr>
            <w:rStyle w:val="a3"/>
            <w:rFonts w:eastAsia="Batang"/>
            <w:sz w:val="28"/>
            <w:szCs w:val="28"/>
          </w:rPr>
          <w:t>http://gplnr.su</w:t>
        </w:r>
      </w:hyperlink>
      <w:r w:rsidRPr="00C6476A">
        <w:rPr>
          <w:sz w:val="28"/>
          <w:szCs w:val="28"/>
        </w:rPr>
        <w:t xml:space="preserve"> - </w:t>
      </w:r>
      <w:r w:rsidRPr="00C6476A">
        <w:rPr>
          <w:bCs/>
          <w:sz w:val="28"/>
          <w:szCs w:val="28"/>
        </w:rPr>
        <w:t>официальный сайт  Генеральной прокуратуры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21" w:history="1">
        <w:r w:rsidRPr="00C6476A">
          <w:rPr>
            <w:rStyle w:val="a3"/>
            <w:rFonts w:eastAsia="Batang"/>
            <w:sz w:val="28"/>
            <w:szCs w:val="28"/>
          </w:rPr>
          <w:t>https://mslnr.su</w:t>
        </w:r>
      </w:hyperlink>
      <w:r w:rsidRPr="00C6476A">
        <w:rPr>
          <w:bCs/>
          <w:sz w:val="28"/>
          <w:szCs w:val="28"/>
        </w:rPr>
        <w:t xml:space="preserve"> - официальный сайт  Министерства связи и массовых коммуникаций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22" w:history="1">
        <w:r w:rsidRPr="00C6476A">
          <w:rPr>
            <w:rStyle w:val="a3"/>
            <w:rFonts w:eastAsia="Batang"/>
            <w:sz w:val="28"/>
            <w:szCs w:val="28"/>
          </w:rPr>
          <w:t>https://mintrudlnr.su</w:t>
        </w:r>
      </w:hyperlink>
      <w:r w:rsidRPr="00C6476A">
        <w:rPr>
          <w:bCs/>
          <w:sz w:val="28"/>
          <w:szCs w:val="28"/>
        </w:rPr>
        <w:t xml:space="preserve"> - официальный сайт  Министерства труда и социальной политики Луганской Народной Республики;</w:t>
      </w:r>
    </w:p>
    <w:p w:rsidR="009A5960" w:rsidRPr="00C6476A" w:rsidRDefault="009A5960" w:rsidP="009A5960">
      <w:pPr>
        <w:tabs>
          <w:tab w:val="left" w:pos="2422"/>
        </w:tabs>
        <w:ind w:firstLine="709"/>
        <w:jc w:val="both"/>
        <w:rPr>
          <w:bCs/>
          <w:sz w:val="28"/>
          <w:szCs w:val="28"/>
        </w:rPr>
      </w:pPr>
      <w:hyperlink r:id="rId23" w:history="1">
        <w:r w:rsidRPr="00C6476A">
          <w:rPr>
            <w:rStyle w:val="a3"/>
            <w:rFonts w:eastAsia="Batang"/>
            <w:sz w:val="28"/>
            <w:szCs w:val="28"/>
          </w:rPr>
          <w:t>https://minfinlnr.su</w:t>
        </w:r>
      </w:hyperlink>
      <w:r w:rsidRPr="00C6476A">
        <w:rPr>
          <w:bCs/>
          <w:sz w:val="28"/>
          <w:szCs w:val="28"/>
        </w:rPr>
        <w:t xml:space="preserve"> - официальный сайт  Министерства финансов Луганской Народной Республики;</w:t>
      </w:r>
    </w:p>
    <w:p w:rsidR="009A5960" w:rsidRPr="00C6476A" w:rsidRDefault="009A5960" w:rsidP="009A5960">
      <w:pPr>
        <w:ind w:firstLine="709"/>
        <w:jc w:val="both"/>
        <w:rPr>
          <w:bCs/>
          <w:sz w:val="28"/>
          <w:szCs w:val="28"/>
        </w:rPr>
      </w:pPr>
      <w:hyperlink r:id="rId24" w:history="1">
        <w:r w:rsidRPr="00C6476A">
          <w:rPr>
            <w:rStyle w:val="a3"/>
            <w:rFonts w:eastAsia="Batang"/>
            <w:sz w:val="28"/>
            <w:szCs w:val="28"/>
          </w:rPr>
          <w:t>https://fgi-lnr.su</w:t>
        </w:r>
      </w:hyperlink>
      <w:r w:rsidRPr="00C6476A">
        <w:rPr>
          <w:sz w:val="28"/>
          <w:szCs w:val="28"/>
        </w:rPr>
        <w:t xml:space="preserve"> -</w:t>
      </w:r>
      <w:r w:rsidRPr="00C6476A">
        <w:rPr>
          <w:bCs/>
          <w:sz w:val="28"/>
          <w:szCs w:val="28"/>
        </w:rPr>
        <w:t xml:space="preserve"> официальный сайт  Фонда Государственного Имущества Луганской Народной Республики;</w:t>
      </w:r>
    </w:p>
    <w:p w:rsidR="009A5960" w:rsidRPr="00C6476A" w:rsidRDefault="009A5960" w:rsidP="009A5960">
      <w:pPr>
        <w:ind w:firstLine="709"/>
        <w:jc w:val="both"/>
        <w:rPr>
          <w:bCs/>
          <w:sz w:val="28"/>
          <w:szCs w:val="28"/>
        </w:rPr>
      </w:pPr>
      <w:hyperlink r:id="rId25" w:history="1">
        <w:r w:rsidRPr="00C6476A">
          <w:rPr>
            <w:rStyle w:val="a3"/>
            <w:rFonts w:eastAsia="Batang"/>
            <w:sz w:val="28"/>
            <w:szCs w:val="28"/>
          </w:rPr>
          <w:t>http://gtklnr.su</w:t>
        </w:r>
      </w:hyperlink>
      <w:r w:rsidRPr="00C6476A">
        <w:rPr>
          <w:sz w:val="28"/>
          <w:szCs w:val="28"/>
        </w:rPr>
        <w:t xml:space="preserve"> -</w:t>
      </w:r>
      <w:r w:rsidRPr="00C6476A">
        <w:rPr>
          <w:bCs/>
          <w:sz w:val="28"/>
          <w:szCs w:val="28"/>
        </w:rPr>
        <w:t xml:space="preserve"> официальный сайт  Государственного таможенного комитета Луганской Народной Республики;</w:t>
      </w:r>
    </w:p>
    <w:p w:rsidR="009A5960" w:rsidRPr="00C6476A" w:rsidRDefault="009A5960" w:rsidP="009A5960">
      <w:pPr>
        <w:ind w:firstLine="709"/>
        <w:jc w:val="both"/>
        <w:rPr>
          <w:bCs/>
          <w:sz w:val="28"/>
          <w:szCs w:val="28"/>
        </w:rPr>
      </w:pPr>
      <w:hyperlink r:id="rId26" w:history="1">
        <w:r w:rsidRPr="00C6476A">
          <w:rPr>
            <w:rStyle w:val="a3"/>
            <w:rFonts w:eastAsia="Batang"/>
            <w:sz w:val="28"/>
            <w:szCs w:val="28"/>
          </w:rPr>
          <w:t>http://gkslnr.su-</w:t>
        </w:r>
      </w:hyperlink>
      <w:r w:rsidRPr="00C6476A">
        <w:rPr>
          <w:bCs/>
          <w:sz w:val="28"/>
          <w:szCs w:val="28"/>
        </w:rPr>
        <w:t xml:space="preserve"> официальный сайт  Государственного комитета статистики Луганской Народной Республики.</w:t>
      </w:r>
    </w:p>
    <w:p w:rsidR="0045135A" w:rsidRDefault="0045135A">
      <w:bookmarkStart w:id="0" w:name="_GoBack"/>
      <w:bookmarkEnd w:id="0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0B5"/>
    <w:multiLevelType w:val="hybridMultilevel"/>
    <w:tmpl w:val="4EFC6FD0"/>
    <w:lvl w:ilvl="0" w:tplc="A1EE9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53E93"/>
    <w:multiLevelType w:val="multilevel"/>
    <w:tmpl w:val="8CAE64A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60"/>
    <w:rsid w:val="0045135A"/>
    <w:rsid w:val="00594657"/>
    <w:rsid w:val="009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960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9A5960"/>
    <w:pPr>
      <w:jc w:val="center"/>
    </w:pPr>
    <w:rPr>
      <w:rFonts w:eastAsia="Batang"/>
      <w:b/>
      <w:bCs/>
      <w:sz w:val="28"/>
      <w:szCs w:val="28"/>
    </w:rPr>
  </w:style>
  <w:style w:type="paragraph" w:styleId="a4">
    <w:name w:val="Body Text Indent"/>
    <w:basedOn w:val="a"/>
    <w:link w:val="a5"/>
    <w:rsid w:val="009A5960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A5960"/>
    <w:rPr>
      <w:rFonts w:ascii="Calibri" w:eastAsia="Batang" w:hAnsi="Calibri" w:cs="Calibri"/>
    </w:rPr>
  </w:style>
  <w:style w:type="paragraph" w:styleId="a6">
    <w:name w:val="List Paragraph"/>
    <w:basedOn w:val="a"/>
    <w:link w:val="a7"/>
    <w:uiPriority w:val="99"/>
    <w:qFormat/>
    <w:rsid w:val="009A5960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9A5960"/>
    <w:rPr>
      <w:rFonts w:ascii="Calibri" w:eastAsia="Batang" w:hAnsi="Calibri" w:cs="Times New Roman"/>
      <w:lang w:val="x-none" w:eastAsia="x-none"/>
    </w:rPr>
  </w:style>
  <w:style w:type="paragraph" w:customStyle="1" w:styleId="4">
    <w:name w:val="Основной текст4"/>
    <w:basedOn w:val="a"/>
    <w:uiPriority w:val="99"/>
    <w:rsid w:val="009A5960"/>
    <w:pPr>
      <w:widowControl w:val="0"/>
      <w:shd w:val="clear" w:color="auto" w:fill="FFFFFF"/>
      <w:spacing w:after="720" w:line="221" w:lineRule="exact"/>
      <w:ind w:hanging="560"/>
    </w:pPr>
    <w:rPr>
      <w:rFonts w:ascii="Calibri" w:eastAsia="Batang" w:hAnsi="Calibri" w:cs="Calibri"/>
      <w:b/>
      <w:bCs/>
      <w:noProof/>
      <w:sz w:val="20"/>
      <w:szCs w:val="20"/>
    </w:rPr>
  </w:style>
  <w:style w:type="paragraph" w:customStyle="1" w:styleId="3">
    <w:name w:val="Основной текст3"/>
    <w:basedOn w:val="a"/>
    <w:uiPriority w:val="99"/>
    <w:rsid w:val="009A5960"/>
    <w:pPr>
      <w:widowControl w:val="0"/>
      <w:shd w:val="clear" w:color="auto" w:fill="FFFFFF"/>
      <w:spacing w:line="485" w:lineRule="exact"/>
      <w:jc w:val="both"/>
    </w:pPr>
    <w:rPr>
      <w:rFonts w:ascii="Calibri" w:hAnsi="Calibri"/>
      <w:sz w:val="26"/>
      <w:szCs w:val="26"/>
    </w:rPr>
  </w:style>
  <w:style w:type="character" w:customStyle="1" w:styleId="hps">
    <w:name w:val="hps"/>
    <w:basedOn w:val="a0"/>
    <w:uiPriority w:val="99"/>
    <w:rsid w:val="009A5960"/>
    <w:rPr>
      <w:rFonts w:cs="Times New Roman"/>
    </w:rPr>
  </w:style>
  <w:style w:type="paragraph" w:customStyle="1" w:styleId="10">
    <w:name w:val="Без интервала1"/>
    <w:link w:val="11"/>
    <w:uiPriority w:val="99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1 Знак"/>
    <w:basedOn w:val="a0"/>
    <w:link w:val="10"/>
    <w:uiPriority w:val="99"/>
    <w:locked/>
    <w:rsid w:val="009A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uiPriority w:val="99"/>
    <w:rsid w:val="009A5960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960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9A5960"/>
    <w:pPr>
      <w:jc w:val="center"/>
    </w:pPr>
    <w:rPr>
      <w:rFonts w:eastAsia="Batang"/>
      <w:b/>
      <w:bCs/>
      <w:sz w:val="28"/>
      <w:szCs w:val="28"/>
    </w:rPr>
  </w:style>
  <w:style w:type="paragraph" w:styleId="a4">
    <w:name w:val="Body Text Indent"/>
    <w:basedOn w:val="a"/>
    <w:link w:val="a5"/>
    <w:rsid w:val="009A5960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A5960"/>
    <w:rPr>
      <w:rFonts w:ascii="Calibri" w:eastAsia="Batang" w:hAnsi="Calibri" w:cs="Calibri"/>
    </w:rPr>
  </w:style>
  <w:style w:type="paragraph" w:styleId="a6">
    <w:name w:val="List Paragraph"/>
    <w:basedOn w:val="a"/>
    <w:link w:val="a7"/>
    <w:uiPriority w:val="99"/>
    <w:qFormat/>
    <w:rsid w:val="009A5960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9A5960"/>
    <w:rPr>
      <w:rFonts w:ascii="Calibri" w:eastAsia="Batang" w:hAnsi="Calibri" w:cs="Times New Roman"/>
      <w:lang w:val="x-none" w:eastAsia="x-none"/>
    </w:rPr>
  </w:style>
  <w:style w:type="paragraph" w:customStyle="1" w:styleId="4">
    <w:name w:val="Основной текст4"/>
    <w:basedOn w:val="a"/>
    <w:uiPriority w:val="99"/>
    <w:rsid w:val="009A5960"/>
    <w:pPr>
      <w:widowControl w:val="0"/>
      <w:shd w:val="clear" w:color="auto" w:fill="FFFFFF"/>
      <w:spacing w:after="720" w:line="221" w:lineRule="exact"/>
      <w:ind w:hanging="560"/>
    </w:pPr>
    <w:rPr>
      <w:rFonts w:ascii="Calibri" w:eastAsia="Batang" w:hAnsi="Calibri" w:cs="Calibri"/>
      <w:b/>
      <w:bCs/>
      <w:noProof/>
      <w:sz w:val="20"/>
      <w:szCs w:val="20"/>
    </w:rPr>
  </w:style>
  <w:style w:type="paragraph" w:customStyle="1" w:styleId="3">
    <w:name w:val="Основной текст3"/>
    <w:basedOn w:val="a"/>
    <w:uiPriority w:val="99"/>
    <w:rsid w:val="009A5960"/>
    <w:pPr>
      <w:widowControl w:val="0"/>
      <w:shd w:val="clear" w:color="auto" w:fill="FFFFFF"/>
      <w:spacing w:line="485" w:lineRule="exact"/>
      <w:jc w:val="both"/>
    </w:pPr>
    <w:rPr>
      <w:rFonts w:ascii="Calibri" w:hAnsi="Calibri"/>
      <w:sz w:val="26"/>
      <w:szCs w:val="26"/>
    </w:rPr>
  </w:style>
  <w:style w:type="character" w:customStyle="1" w:styleId="hps">
    <w:name w:val="hps"/>
    <w:basedOn w:val="a0"/>
    <w:uiPriority w:val="99"/>
    <w:rsid w:val="009A5960"/>
    <w:rPr>
      <w:rFonts w:cs="Times New Roman"/>
    </w:rPr>
  </w:style>
  <w:style w:type="paragraph" w:customStyle="1" w:styleId="10">
    <w:name w:val="Без интервала1"/>
    <w:link w:val="11"/>
    <w:uiPriority w:val="99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1 Знак"/>
    <w:basedOn w:val="a0"/>
    <w:link w:val="10"/>
    <w:uiPriority w:val="99"/>
    <w:locked/>
    <w:rsid w:val="009A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uiPriority w:val="99"/>
    <w:rsid w:val="009A5960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upload/iblock/38b/38b348e7ade1b522903f8a0ecaf1a8de.pdf" TargetMode="External"/><Relationship Id="rId13" Type="http://schemas.openxmlformats.org/officeDocument/2006/relationships/hyperlink" Target="https://nslnr.su" TargetMode="External"/><Relationship Id="rId18" Type="http://schemas.openxmlformats.org/officeDocument/2006/relationships/hyperlink" Target="https://www.mgblnr.org" TargetMode="External"/><Relationship Id="rId26" Type="http://schemas.openxmlformats.org/officeDocument/2006/relationships/hyperlink" Target="http://gkslnr.su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slnr.su" TargetMode="External"/><Relationship Id="rId7" Type="http://schemas.openxmlformats.org/officeDocument/2006/relationships/hyperlink" Target="http://nmcro.ru/uchebnye-programmy-dlya-sredneobrazovatelnyx-uchebnyx-uchrezhdenij-lnr" TargetMode="External"/><Relationship Id="rId12" Type="http://schemas.openxmlformats.org/officeDocument/2006/relationships/hyperlink" Target="http://nashol.com/2013041170581/pravo-10-11-klass-profilnii-uroven-nikitin-a-f-2011.html" TargetMode="External"/><Relationship Id="rId17" Type="http://schemas.openxmlformats.org/officeDocument/2006/relationships/hyperlink" Target="https://mu-lnr.su" TargetMode="External"/><Relationship Id="rId25" Type="http://schemas.openxmlformats.org/officeDocument/2006/relationships/hyperlink" Target="http://gtklnr.s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.su" TargetMode="External"/><Relationship Id="rId20" Type="http://schemas.openxmlformats.org/officeDocument/2006/relationships/hyperlink" Target="http://gplnr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mcro.ru/uchebnye-programmy-dlya-sredneobrazovatelnyx-uchebnyx-uchrezhdenij-lnr" TargetMode="External"/><Relationship Id="rId11" Type="http://schemas.openxmlformats.org/officeDocument/2006/relationships/hyperlink" Target="http://nashol.com/2016012788109/pravo-10-11-klass-bazovii-i-uglublennii-urovni-nikitin-a-f-nikitina-t-i-2013.html" TargetMode="External"/><Relationship Id="rId24" Type="http://schemas.openxmlformats.org/officeDocument/2006/relationships/hyperlink" Target="https://fgi-lnr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vminlnr.su" TargetMode="External"/><Relationship Id="rId23" Type="http://schemas.openxmlformats.org/officeDocument/2006/relationships/hyperlink" Target="https://minfinlnr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mcro.ru/" TargetMode="External"/><Relationship Id="rId19" Type="http://schemas.openxmlformats.org/officeDocument/2006/relationships/hyperlink" Target="http://mvdln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cro.ru/" TargetMode="External"/><Relationship Id="rId14" Type="http://schemas.openxmlformats.org/officeDocument/2006/relationships/hyperlink" Target="https://glava-lnr.su" TargetMode="External"/><Relationship Id="rId22" Type="http://schemas.openxmlformats.org/officeDocument/2006/relationships/hyperlink" Target="https://mintrudlnr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10981</Characters>
  <Application>Microsoft Office Word</Application>
  <DocSecurity>0</DocSecurity>
  <Lines>91</Lines>
  <Paragraphs>25</Paragraphs>
  <ScaleCrop>false</ScaleCrop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2017-08-08T11:44:00Z</dcterms:created>
  <dcterms:modified xsi:type="dcterms:W3CDTF">2017-08-08T11:45:00Z</dcterms:modified>
</cp:coreProperties>
</file>